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55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Arial" w:hAnsi="Arial"/>
          <w:b w:val="1"/>
          <w:i w:val="0"/>
          <w:caps w:val="0"/>
          <w:color w:val="333333"/>
          <w:spacing w:val="0"/>
          <w:sz w:val="26"/>
          <w:highlight w:val="white"/>
        </w:rPr>
        <w:t>Организация работы по внедрению профессиональных стандартов</w:t>
      </w:r>
      <w:r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  <w:drawing>
          <wp:inline>
            <wp:extent cx="6210299" cy="5067299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210299" cy="506729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hAnsi="Arial"/>
          <w:b w:val="0"/>
          <w:i w:val="0"/>
          <w:caps w:val="0"/>
          <w:color w:val="333333"/>
          <w:spacing w:val="0"/>
          <w:sz w:val="23"/>
          <w:highlight w:val="white"/>
        </w:rPr>
        <w:t>Рис. 1.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Организация работы по внедрению профессиональных стандартов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12.1. Создание рабочей группы по внедрению профессиональных стандартов (рекомендуется утвердить локальными актами организации: создание рабочей группы, состав рабочий группы; положение о рабочей группе).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12.2. Составление плана-графика мероприятий по внедрению профессиональных стандартов с учетом мнения представительного органа работников (статья 372 Кодекса).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12.3. Анализ положений нормативных правовых актов, определяющих требования к квалификации, необходимой работникам для выполнения определенных трудовых функций, и категории работников, имеющих льготы, компенсации или ограничения.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12.4. Анализ реестра профессиональных стандартов (сайт Минтруда России http://profstandart.rosmintrud.ru/) с целью определения перечня профессиональных стандартов, необходимых для применения в организации (рекомендуется утверждение перечня профессиональных стандартов локальном актом организации и (или) протоколом рабочей группы).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12.5. Анализ соответствия должностей штатного расписания наименованиям должностей, содержащимся в профессиональных стандартах (важно учитывать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instrText>HYPERLINK "https://www.garant.ru/products/ipo/prime/doc/72817320/#91"</w:instrText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t>пп. 9.1</w:t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instrText>HYPERLINK "https://www.garant.ru/products/ipo/prime/doc/72817320/#1111"</w:instrText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t>11.11</w:t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instrText>HYPERLINK "https://www.garant.ru/products/ipo/prime/doc/72817320/#1112"</w:instrText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t>11.12</w:t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instrText>HYPERLINK "https://www.garant.ru/products/ipo/prime/doc/72817320/#1114"</w:instrText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t>11.14</w:t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Рекомендаций).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12.6. Установление соответствия уровня образования работников и их опыта практической работы требованиям, определенным в профессиональных стандартах, с учетом выполняемых трудовых обязанностей (необходимо учитывать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instrText>HYPERLINK "https://www.garant.ru/products/ipo/prime/doc/72817320/#92"</w:instrText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t>пп. 9.2</w:t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instrText>HYPERLINK "https://www.garant.ru/products/ipo/prime/doc/72817320/#111"</w:instrText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t>11.1-11.4</w:t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Рекомендаций) (рекомендуется утвердить список сотрудников, направляемых на прохождении аттестации).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12.7. Составление плана-графика проведения аттестации в соответствии с законодательством (необходимо учитывать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instrText>HYPERLINK "https://www.garant.ru/products/ipo/prime/doc/72817320/#117"</w:instrText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t>пп. 11.7-11.9</w:t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Рекомендаций).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12.8. Составление плана-графика направления (при необходимости) на дополнительную подготовку, независимую оценку квалификации (в соответствии с законодательством (необходимо учитывать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instrText>HYPERLINK "https://www.garant.ru/products/ipo/prime/doc/72817320/#1110"</w:instrText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t>пп. 11.10</w:t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instrText>HYPERLINK "https://www.garant.ru/products/ipo/prime/doc/72817320/#1113"</w:instrText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t>11.13</w:t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Рекомендаций).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12.9. Анализ локальных актов организации с целью формирования перечня документов для актуализации (разработки) в связи с внедрением профессиональных стандартов (изменения в локальные нормативные акты следует вносить в порядке, установленном трудовым законодательством; введение их в действие либо внесение в них изменений осуществляется на основании приказа (распоряжения) работодателя).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12.10. При необходимости: оптимизация системы оплаты труда сотрудников в связи с установленными уровнями квалификаций, актуализация штатного расписания (</w:t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instrText>HYPERLINK "https://www.garant.ru/products/ipo/prime/doc/72817320/#1115"</w:instrText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t>п. 11.15</w:t>
      </w: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  <w:u w:color="000000" w:val="singl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Рекомендаций).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12.11. Подготовка годового отчета по итогам внедрения профессиональных стандартов.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12.12. Внесение изменений в план-график мероприятий по внедрению профессиональных стандартов в связи с утверждением новых и актуализацией действующих профессиональных стандартов, изменениями федерального законодательства, а также организационной структуры организации.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Справочно. Независимая оценка квалификации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1. Подготовка работников и дополнительное профессиональное образование работников, направление работников (с их письменного согласия) на прохождение независимой оценки квалификации осуществляются работодателем на условиях и в порядке, которые определяются коллективным договором, соглашениями, трудовым договором (статья 196 Кодекса).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2. Независимая оценка квалификации является добровольной для граждан, включая работников и работодателей, и не влечет за собой каких-либо обязательных последствий или требований, в том числе при приеме на работу (Федеральный закон от 3 июля 2016 года N 238-ФЗ "О независимой оценке квалификации").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3. При направлении работодателем работника на прохождение независимой оценки квалификации оплата прохождения оценки осуществляется за счет средств работодателя (статья 196 Кодекса).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При этом при направлении работодателем работника на прохождение независимой оценки квалификации с отрывом от работы за работником сохраняются место работы (должность) и средняя заработная плата по основному месту работы, с отрывом от работы в другую местность - производится оплата командировочных расходов в порядке и размерах, которые предусмотрены для лиц, направляемых в служебные командировки (статья 187 Кодекса).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4. В соответствии с Федеральным законом от 3 июля 2016 г. N 251-ФЗ "О внесении изменений в часть вторую Налогового кодекса Российской Федерации в связи с принятием Федерального закона "О независимой оценке квалификации" предполагаются меры: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для работодателей - включение в состав прочих расходов, связанных с производством и (или) реализацией, затрат на оценку квалификации работников;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для соискателей - право на получение налогового вычета.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2024-03-06T08:12:55Z</dcterms:modified>
</cp:coreProperties>
</file>